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F6C2" w14:textId="77777777" w:rsidR="00FE067E" w:rsidRPr="00793A82" w:rsidRDefault="003C6034" w:rsidP="00CC1F3B">
      <w:pPr>
        <w:pStyle w:val="TitlePageOrigin"/>
        <w:rPr>
          <w:color w:val="auto"/>
        </w:rPr>
      </w:pPr>
      <w:r w:rsidRPr="00793A82">
        <w:rPr>
          <w:caps w:val="0"/>
          <w:color w:val="auto"/>
        </w:rPr>
        <w:t>WEST VIRGINIA LEGISLATURE</w:t>
      </w:r>
    </w:p>
    <w:p w14:paraId="04B74C91" w14:textId="77777777" w:rsidR="00CD36CF" w:rsidRPr="00793A82" w:rsidRDefault="00CD36CF" w:rsidP="00CC1F3B">
      <w:pPr>
        <w:pStyle w:val="TitlePageSession"/>
        <w:rPr>
          <w:color w:val="auto"/>
        </w:rPr>
      </w:pPr>
      <w:r w:rsidRPr="00793A82">
        <w:rPr>
          <w:color w:val="auto"/>
        </w:rPr>
        <w:t>20</w:t>
      </w:r>
      <w:r w:rsidR="00EC5E63" w:rsidRPr="00793A82">
        <w:rPr>
          <w:color w:val="auto"/>
        </w:rPr>
        <w:t>2</w:t>
      </w:r>
      <w:r w:rsidR="0020151F" w:rsidRPr="00793A82">
        <w:rPr>
          <w:color w:val="auto"/>
        </w:rPr>
        <w:t>6</w:t>
      </w:r>
      <w:r w:rsidRPr="00793A82">
        <w:rPr>
          <w:color w:val="auto"/>
        </w:rPr>
        <w:t xml:space="preserve"> </w:t>
      </w:r>
      <w:r w:rsidR="003C6034" w:rsidRPr="00793A82">
        <w:rPr>
          <w:caps w:val="0"/>
          <w:color w:val="auto"/>
        </w:rPr>
        <w:t>REGULAR SESSION</w:t>
      </w:r>
    </w:p>
    <w:p w14:paraId="07011339" w14:textId="77777777" w:rsidR="00CD36CF" w:rsidRPr="00793A82" w:rsidRDefault="006A266A" w:rsidP="00CC1F3B">
      <w:pPr>
        <w:pStyle w:val="TitlePageBillPrefix"/>
        <w:rPr>
          <w:color w:val="auto"/>
        </w:rPr>
      </w:pPr>
      <w:sdt>
        <w:sdtPr>
          <w:rPr>
            <w:color w:val="auto"/>
          </w:rPr>
          <w:tag w:val="IntroDate"/>
          <w:id w:val="-1236936958"/>
          <w:placeholder>
            <w:docPart w:val="DA0C36B7EA5E42729935E3ACF9739D12"/>
          </w:placeholder>
          <w:text/>
        </w:sdtPr>
        <w:sdtEndPr/>
        <w:sdtContent>
          <w:r w:rsidR="00AE48A0" w:rsidRPr="00793A82">
            <w:rPr>
              <w:color w:val="auto"/>
            </w:rPr>
            <w:t>Introduced</w:t>
          </w:r>
        </w:sdtContent>
      </w:sdt>
    </w:p>
    <w:p w14:paraId="4F4B1C31" w14:textId="331E3449" w:rsidR="00CD36CF" w:rsidRPr="00793A82" w:rsidRDefault="006A266A" w:rsidP="00CC1F3B">
      <w:pPr>
        <w:pStyle w:val="BillNumber"/>
        <w:rPr>
          <w:color w:val="auto"/>
        </w:rPr>
      </w:pPr>
      <w:sdt>
        <w:sdtPr>
          <w:rPr>
            <w:color w:val="auto"/>
          </w:rPr>
          <w:tag w:val="Chamber"/>
          <w:id w:val="893011969"/>
          <w:lock w:val="sdtLocked"/>
          <w:placeholder>
            <w:docPart w:val="3C61D5DF80B241B98A569E839C72CEC5"/>
          </w:placeholder>
          <w:dropDownList>
            <w:listItem w:displayText="House" w:value="House"/>
            <w:listItem w:displayText="Senate" w:value="Senate"/>
          </w:dropDownList>
        </w:sdtPr>
        <w:sdtEndPr/>
        <w:sdtContent>
          <w:r w:rsidR="00C33434" w:rsidRPr="00793A82">
            <w:rPr>
              <w:color w:val="auto"/>
            </w:rPr>
            <w:t>House</w:t>
          </w:r>
        </w:sdtContent>
      </w:sdt>
      <w:r w:rsidR="00303684" w:rsidRPr="00793A82">
        <w:rPr>
          <w:color w:val="auto"/>
        </w:rPr>
        <w:t xml:space="preserve"> </w:t>
      </w:r>
      <w:r w:rsidR="00CD36CF" w:rsidRPr="00793A82">
        <w:rPr>
          <w:color w:val="auto"/>
        </w:rPr>
        <w:t xml:space="preserve">Bill </w:t>
      </w:r>
      <w:sdt>
        <w:sdtPr>
          <w:rPr>
            <w:color w:val="auto"/>
          </w:rPr>
          <w:tag w:val="BNum"/>
          <w:id w:val="1645317809"/>
          <w:lock w:val="sdtLocked"/>
          <w:placeholder>
            <w:docPart w:val="FF7EF3603959408F99A68B78B14601F5"/>
          </w:placeholder>
          <w:text/>
        </w:sdtPr>
        <w:sdtEndPr/>
        <w:sdtContent>
          <w:r w:rsidR="003D5DC0">
            <w:rPr>
              <w:color w:val="auto"/>
            </w:rPr>
            <w:t>5528</w:t>
          </w:r>
        </w:sdtContent>
      </w:sdt>
    </w:p>
    <w:p w14:paraId="0F855D45" w14:textId="41F44BB4" w:rsidR="00CD36CF" w:rsidRPr="00793A82" w:rsidRDefault="00CD36CF" w:rsidP="00CC1F3B">
      <w:pPr>
        <w:pStyle w:val="Sponsors"/>
        <w:rPr>
          <w:color w:val="auto"/>
        </w:rPr>
      </w:pPr>
      <w:r w:rsidRPr="00793A82">
        <w:rPr>
          <w:color w:val="auto"/>
        </w:rPr>
        <w:t xml:space="preserve">By </w:t>
      </w:r>
      <w:sdt>
        <w:sdtPr>
          <w:rPr>
            <w:color w:val="auto"/>
          </w:rPr>
          <w:tag w:val="Sponsors"/>
          <w:id w:val="1589585889"/>
          <w:placeholder>
            <w:docPart w:val="D371FAE86F534661BBF8CCE6E5AB5CFB"/>
          </w:placeholder>
          <w:text w:multiLine="1"/>
        </w:sdtPr>
        <w:sdtEndPr/>
        <w:sdtContent>
          <w:r w:rsidR="00353BE6" w:rsidRPr="00793A82">
            <w:rPr>
              <w:color w:val="auto"/>
            </w:rPr>
            <w:t>Delegate</w:t>
          </w:r>
          <w:r w:rsidR="00345B48">
            <w:rPr>
              <w:color w:val="auto"/>
            </w:rPr>
            <w:t>s</w:t>
          </w:r>
          <w:r w:rsidR="00353BE6" w:rsidRPr="00793A82">
            <w:rPr>
              <w:color w:val="auto"/>
            </w:rPr>
            <w:t xml:space="preserve"> D. Cannon</w:t>
          </w:r>
          <w:r w:rsidR="006A266A">
            <w:rPr>
              <w:color w:val="auto"/>
            </w:rPr>
            <w:t>,</w:t>
          </w:r>
          <w:r w:rsidR="00345B48">
            <w:rPr>
              <w:color w:val="auto"/>
            </w:rPr>
            <w:t xml:space="preserve"> Vance</w:t>
          </w:r>
          <w:r w:rsidR="006A266A">
            <w:rPr>
              <w:color w:val="auto"/>
            </w:rPr>
            <w:t>, and Marple</w:t>
          </w:r>
        </w:sdtContent>
      </w:sdt>
    </w:p>
    <w:p w14:paraId="0A57CEE6" w14:textId="35FB2F6A" w:rsidR="00E831B3" w:rsidRPr="00793A82" w:rsidRDefault="00CD36CF" w:rsidP="00CC1F3B">
      <w:pPr>
        <w:pStyle w:val="References"/>
        <w:rPr>
          <w:color w:val="auto"/>
        </w:rPr>
      </w:pPr>
      <w:r w:rsidRPr="00793A82">
        <w:rPr>
          <w:color w:val="auto"/>
        </w:rPr>
        <w:t>[</w:t>
      </w:r>
      <w:sdt>
        <w:sdtPr>
          <w:rPr>
            <w:color w:val="auto"/>
          </w:rPr>
          <w:tag w:val="References"/>
          <w:id w:val="-1043047873"/>
          <w:placeholder>
            <w:docPart w:val="98ED0CEF70714131BAC0D43EB23CB15A"/>
          </w:placeholder>
          <w:text w:multiLine="1"/>
        </w:sdtPr>
        <w:sdtEndPr/>
        <w:sdtContent>
          <w:r w:rsidR="003D5DC0">
            <w:rPr>
              <w:color w:val="auto"/>
            </w:rPr>
            <w:t>Introduced February 13, 2026; referred to the Committee on the Judiciary</w:t>
          </w:r>
        </w:sdtContent>
      </w:sdt>
      <w:r w:rsidRPr="00793A82">
        <w:rPr>
          <w:color w:val="auto"/>
        </w:rPr>
        <w:t>]</w:t>
      </w:r>
    </w:p>
    <w:p w14:paraId="65A9152F" w14:textId="4F5F4E51" w:rsidR="00303684" w:rsidRPr="00793A82" w:rsidRDefault="0000526A" w:rsidP="00CC1F3B">
      <w:pPr>
        <w:pStyle w:val="TitleSection"/>
        <w:rPr>
          <w:color w:val="auto"/>
        </w:rPr>
      </w:pPr>
      <w:r w:rsidRPr="00793A82">
        <w:rPr>
          <w:color w:val="auto"/>
        </w:rPr>
        <w:lastRenderedPageBreak/>
        <w:t>A BILL</w:t>
      </w:r>
      <w:r w:rsidR="00353BE6" w:rsidRPr="00793A82">
        <w:rPr>
          <w:color w:val="auto"/>
        </w:rPr>
        <w:t xml:space="preserve"> to amend the Code of West Virginia, 1931, as amended, by adding a new section, designated §61-2-31, relating to providing protection of personal residential information of certain public officials; providing for legislative findings; setting forth definitions; providing a restriction on government disclosure; setting forth permitted disclosures; defining obligations of data custodians; and establishing a civil remedy. </w:t>
      </w:r>
    </w:p>
    <w:p w14:paraId="229E9ECB" w14:textId="77777777" w:rsidR="00303684" w:rsidRPr="00793A82" w:rsidRDefault="00303684" w:rsidP="00CC1F3B">
      <w:pPr>
        <w:pStyle w:val="EnactingClause"/>
        <w:rPr>
          <w:color w:val="auto"/>
        </w:rPr>
      </w:pPr>
      <w:r w:rsidRPr="00793A82">
        <w:rPr>
          <w:color w:val="auto"/>
        </w:rPr>
        <w:t>Be it enacted by the Legislature of West Virginia:</w:t>
      </w:r>
    </w:p>
    <w:p w14:paraId="13E591B8" w14:textId="77777777" w:rsidR="00353BE6" w:rsidRPr="00793A82" w:rsidRDefault="00353BE6" w:rsidP="00CC1F3B">
      <w:pPr>
        <w:pStyle w:val="SectionBody"/>
        <w:rPr>
          <w:color w:val="auto"/>
        </w:rPr>
        <w:sectPr w:rsidR="00353BE6" w:rsidRPr="00793A82" w:rsidSect="00353BE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FAAD389" w14:textId="0DA8B1AD" w:rsidR="00353BE6" w:rsidRPr="00793A82" w:rsidRDefault="00353BE6" w:rsidP="00475962">
      <w:pPr>
        <w:pStyle w:val="ArticleHeading"/>
        <w:rPr>
          <w:color w:val="auto"/>
        </w:rPr>
      </w:pPr>
      <w:r w:rsidRPr="00793A82">
        <w:rPr>
          <w:color w:val="auto"/>
        </w:rPr>
        <w:t xml:space="preserve">ARTICLE 2. CRIMES AGAINST THE PERSON. </w:t>
      </w:r>
    </w:p>
    <w:p w14:paraId="48422F8F" w14:textId="77777777" w:rsidR="00353BE6" w:rsidRPr="00793A82" w:rsidRDefault="00353BE6" w:rsidP="00CC1F3B">
      <w:pPr>
        <w:pStyle w:val="SectionBody"/>
        <w:rPr>
          <w:color w:val="auto"/>
        </w:rPr>
        <w:sectPr w:rsidR="00353BE6" w:rsidRPr="00793A82" w:rsidSect="00353BE6">
          <w:type w:val="continuous"/>
          <w:pgSz w:w="12240" w:h="15840" w:code="1"/>
          <w:pgMar w:top="1440" w:right="1440" w:bottom="1440" w:left="1440" w:header="720" w:footer="720" w:gutter="0"/>
          <w:lnNumType w:countBy="1" w:restart="newSection"/>
          <w:cols w:space="720"/>
          <w:titlePg/>
          <w:docGrid w:linePitch="360"/>
        </w:sectPr>
      </w:pPr>
    </w:p>
    <w:p w14:paraId="745249C9" w14:textId="1F8251AD" w:rsidR="00353BE6" w:rsidRPr="00793A82" w:rsidRDefault="00353BE6" w:rsidP="00353BE6">
      <w:pPr>
        <w:pStyle w:val="SectionHeading"/>
        <w:rPr>
          <w:color w:val="auto"/>
          <w:u w:val="single"/>
        </w:rPr>
      </w:pPr>
      <w:r w:rsidRPr="00793A82">
        <w:rPr>
          <w:color w:val="auto"/>
          <w:u w:val="single"/>
        </w:rPr>
        <w:t>§61-2-31. Protection of Personal Residential Information of Certain Public Officials.</w:t>
      </w:r>
    </w:p>
    <w:p w14:paraId="302C0F69" w14:textId="01AF6B30" w:rsidR="00353BE6" w:rsidRPr="00793A82" w:rsidRDefault="00353BE6" w:rsidP="00353BE6">
      <w:pPr>
        <w:pStyle w:val="SectionBody"/>
        <w:rPr>
          <w:color w:val="auto"/>
          <w:u w:val="single"/>
        </w:rPr>
      </w:pPr>
      <w:r w:rsidRPr="00793A82">
        <w:rPr>
          <w:color w:val="auto"/>
          <w:u w:val="single"/>
        </w:rPr>
        <w:t>(a) Legislative findings. – The Legislature finds that judges, magistrates, prosecutors, and sworn law-enforcement officers face heightened risks of threats, harassment, and violence due to the nature of their official duties. Protecting limited personal identifying information is necessary to ensure public safety and the effective administration of justice, while respecting constitutional free-speech protections.</w:t>
      </w:r>
    </w:p>
    <w:p w14:paraId="5065F434" w14:textId="47DFD278" w:rsidR="00353BE6" w:rsidRPr="00793A82" w:rsidRDefault="00353BE6" w:rsidP="00353BE6">
      <w:pPr>
        <w:pStyle w:val="SectionBody"/>
        <w:rPr>
          <w:color w:val="auto"/>
          <w:u w:val="single"/>
        </w:rPr>
      </w:pPr>
      <w:r w:rsidRPr="00793A82">
        <w:rPr>
          <w:color w:val="auto"/>
          <w:u w:val="single"/>
        </w:rPr>
        <w:t xml:space="preserve">(b) Definitions. – For purposes of this section: </w:t>
      </w:r>
    </w:p>
    <w:p w14:paraId="19A6B204" w14:textId="7EFE5045" w:rsidR="00353BE6" w:rsidRPr="00793A82" w:rsidRDefault="00353BE6" w:rsidP="00353BE6">
      <w:pPr>
        <w:pStyle w:val="SectionBody"/>
        <w:rPr>
          <w:color w:val="auto"/>
          <w:u w:val="single"/>
        </w:rPr>
      </w:pPr>
      <w:r w:rsidRPr="00793A82">
        <w:rPr>
          <w:color w:val="auto"/>
          <w:u w:val="single"/>
        </w:rPr>
        <w:t>(1) "Covered individual" means:</w:t>
      </w:r>
    </w:p>
    <w:p w14:paraId="2B07FF53" w14:textId="29A40373" w:rsidR="00353BE6" w:rsidRPr="00793A82" w:rsidRDefault="00353BE6" w:rsidP="00353BE6">
      <w:pPr>
        <w:pStyle w:val="SectionBody"/>
        <w:rPr>
          <w:color w:val="auto"/>
          <w:u w:val="single"/>
        </w:rPr>
      </w:pPr>
      <w:r w:rsidRPr="00793A82">
        <w:rPr>
          <w:color w:val="auto"/>
          <w:u w:val="single"/>
        </w:rPr>
        <w:t xml:space="preserve">(A) Any </w:t>
      </w:r>
      <w:r w:rsidR="0009441E">
        <w:rPr>
          <w:color w:val="auto"/>
          <w:u w:val="single"/>
        </w:rPr>
        <w:t xml:space="preserve">retired </w:t>
      </w:r>
      <w:r w:rsidRPr="00793A82">
        <w:rPr>
          <w:color w:val="auto"/>
          <w:u w:val="single"/>
        </w:rPr>
        <w:t>justice, judge, magistrate, or family court judge of the State of West Virginia;</w:t>
      </w:r>
    </w:p>
    <w:p w14:paraId="6CDACBA5" w14:textId="7616E42D" w:rsidR="00353BE6" w:rsidRPr="00793A82" w:rsidRDefault="00353BE6" w:rsidP="00353BE6">
      <w:pPr>
        <w:pStyle w:val="SectionBody"/>
        <w:rPr>
          <w:color w:val="auto"/>
          <w:u w:val="single"/>
        </w:rPr>
      </w:pPr>
      <w:r w:rsidRPr="00793A82">
        <w:rPr>
          <w:color w:val="auto"/>
          <w:u w:val="single"/>
        </w:rPr>
        <w:t xml:space="preserve">(B) Any </w:t>
      </w:r>
      <w:r w:rsidR="0009441E">
        <w:rPr>
          <w:color w:val="auto"/>
          <w:u w:val="single"/>
        </w:rPr>
        <w:t xml:space="preserve">retired </w:t>
      </w:r>
      <w:r w:rsidRPr="00793A82">
        <w:rPr>
          <w:color w:val="auto"/>
          <w:u w:val="single"/>
        </w:rPr>
        <w:t>prosecuting attorney or assistant prosecuting attorney;</w:t>
      </w:r>
    </w:p>
    <w:p w14:paraId="20C3777F" w14:textId="0F776FA0" w:rsidR="00353BE6" w:rsidRPr="00793A82" w:rsidRDefault="00353BE6" w:rsidP="00353BE6">
      <w:pPr>
        <w:pStyle w:val="SectionBody"/>
        <w:rPr>
          <w:color w:val="auto"/>
          <w:u w:val="single"/>
        </w:rPr>
      </w:pPr>
      <w:r w:rsidRPr="00793A82">
        <w:rPr>
          <w:color w:val="auto"/>
          <w:u w:val="single"/>
        </w:rPr>
        <w:t xml:space="preserve">(C) Any </w:t>
      </w:r>
      <w:r w:rsidR="0009441E">
        <w:rPr>
          <w:color w:val="auto"/>
          <w:u w:val="single"/>
        </w:rPr>
        <w:t xml:space="preserve">active or retired </w:t>
      </w:r>
      <w:r w:rsidRPr="00793A82">
        <w:rPr>
          <w:color w:val="auto"/>
          <w:u w:val="single"/>
        </w:rPr>
        <w:t>sworn law-enforcement officer employed by the State, a county, or a municipality; and</w:t>
      </w:r>
    </w:p>
    <w:p w14:paraId="093ADFA0" w14:textId="77777777" w:rsidR="00353BE6" w:rsidRPr="00793A82" w:rsidRDefault="00353BE6" w:rsidP="00353BE6">
      <w:pPr>
        <w:pStyle w:val="SectionBody"/>
        <w:rPr>
          <w:color w:val="auto"/>
          <w:u w:val="single"/>
        </w:rPr>
      </w:pPr>
      <w:r w:rsidRPr="00793A82">
        <w:rPr>
          <w:color w:val="auto"/>
          <w:u w:val="single"/>
        </w:rPr>
        <w:t>(D) Any immediate family member residing in the same household as such individual.</w:t>
      </w:r>
    </w:p>
    <w:p w14:paraId="6BDA06C0" w14:textId="644C0C5D" w:rsidR="00353BE6" w:rsidRPr="00793A82" w:rsidRDefault="00353BE6" w:rsidP="00353BE6">
      <w:pPr>
        <w:pStyle w:val="SectionBody"/>
        <w:rPr>
          <w:color w:val="auto"/>
          <w:u w:val="single"/>
        </w:rPr>
      </w:pPr>
      <w:r w:rsidRPr="00793A82">
        <w:rPr>
          <w:color w:val="auto"/>
          <w:u w:val="single"/>
        </w:rPr>
        <w:t>(2) "Personal residential information" means:</w:t>
      </w:r>
    </w:p>
    <w:p w14:paraId="2641E6FE" w14:textId="36A04067" w:rsidR="00353BE6" w:rsidRPr="00793A82" w:rsidRDefault="00353BE6" w:rsidP="00353BE6">
      <w:pPr>
        <w:pStyle w:val="SectionBody"/>
        <w:rPr>
          <w:color w:val="auto"/>
          <w:u w:val="single"/>
        </w:rPr>
      </w:pPr>
      <w:r w:rsidRPr="00793A82">
        <w:rPr>
          <w:color w:val="auto"/>
          <w:u w:val="single"/>
        </w:rPr>
        <w:t>(A) A home street address;</w:t>
      </w:r>
    </w:p>
    <w:p w14:paraId="49476B39" w14:textId="20D8C62B" w:rsidR="00353BE6" w:rsidRPr="00793A82" w:rsidRDefault="00353BE6" w:rsidP="00353BE6">
      <w:pPr>
        <w:pStyle w:val="SectionBody"/>
        <w:rPr>
          <w:color w:val="auto"/>
          <w:u w:val="single"/>
        </w:rPr>
      </w:pPr>
      <w:r w:rsidRPr="00793A82">
        <w:rPr>
          <w:color w:val="auto"/>
          <w:u w:val="single"/>
        </w:rPr>
        <w:t>(B) A personal residential telephone number;</w:t>
      </w:r>
    </w:p>
    <w:p w14:paraId="684A0469" w14:textId="77777777" w:rsidR="00353BE6" w:rsidRPr="00793A82" w:rsidRDefault="00353BE6" w:rsidP="00353BE6">
      <w:pPr>
        <w:pStyle w:val="SectionBody"/>
        <w:rPr>
          <w:color w:val="auto"/>
          <w:u w:val="single"/>
        </w:rPr>
      </w:pPr>
      <w:r w:rsidRPr="00793A82">
        <w:rPr>
          <w:color w:val="auto"/>
          <w:u w:val="single"/>
        </w:rPr>
        <w:t>(C) A personal cellular telephone number not issued by an employing agency.</w:t>
      </w:r>
    </w:p>
    <w:p w14:paraId="19313D3A" w14:textId="77777777" w:rsidR="00353BE6" w:rsidRPr="00793A82" w:rsidRDefault="00353BE6" w:rsidP="00353BE6">
      <w:pPr>
        <w:pStyle w:val="SectionBody"/>
        <w:rPr>
          <w:color w:val="auto"/>
          <w:u w:val="single"/>
        </w:rPr>
      </w:pPr>
      <w:r w:rsidRPr="00793A82">
        <w:rPr>
          <w:color w:val="auto"/>
          <w:u w:val="single"/>
        </w:rPr>
        <w:t xml:space="preserve">(c) Restriction on government disclosure. – No state agency, county, municipality, or political subdivision may knowingly disclose the personal residential information of a covered </w:t>
      </w:r>
      <w:r w:rsidRPr="00793A82">
        <w:rPr>
          <w:color w:val="auto"/>
          <w:u w:val="single"/>
        </w:rPr>
        <w:lastRenderedPageBreak/>
        <w:t>individual on a publicly accessible website, database, or record, except as provided in subsection (d).</w:t>
      </w:r>
    </w:p>
    <w:p w14:paraId="57F68B70" w14:textId="65CDFEA0" w:rsidR="00353BE6" w:rsidRPr="00793A82" w:rsidRDefault="00353BE6" w:rsidP="00353BE6">
      <w:pPr>
        <w:pStyle w:val="SectionBody"/>
        <w:rPr>
          <w:color w:val="auto"/>
          <w:u w:val="single"/>
        </w:rPr>
      </w:pPr>
      <w:r w:rsidRPr="00793A82">
        <w:rPr>
          <w:color w:val="auto"/>
          <w:u w:val="single"/>
        </w:rPr>
        <w:t>(d) Permitted disclosures. – This section does not prohibit disclosure of personal residential information when:</w:t>
      </w:r>
    </w:p>
    <w:p w14:paraId="5F225578" w14:textId="3935B0D9" w:rsidR="00353BE6" w:rsidRPr="00793A82" w:rsidRDefault="00353BE6" w:rsidP="00353BE6">
      <w:pPr>
        <w:pStyle w:val="SectionBody"/>
        <w:rPr>
          <w:color w:val="auto"/>
          <w:u w:val="single"/>
        </w:rPr>
      </w:pPr>
      <w:r w:rsidRPr="00793A82">
        <w:rPr>
          <w:color w:val="auto"/>
          <w:u w:val="single"/>
        </w:rPr>
        <w:t>(1) Required by federal law or court order;</w:t>
      </w:r>
    </w:p>
    <w:p w14:paraId="4335B690" w14:textId="7094F5D8" w:rsidR="00353BE6" w:rsidRPr="00793A82" w:rsidRDefault="00353BE6" w:rsidP="00353BE6">
      <w:pPr>
        <w:pStyle w:val="SectionBody"/>
        <w:rPr>
          <w:color w:val="auto"/>
          <w:u w:val="single"/>
        </w:rPr>
      </w:pPr>
      <w:r w:rsidRPr="00793A82">
        <w:rPr>
          <w:color w:val="auto"/>
          <w:u w:val="single"/>
        </w:rPr>
        <w:t>(2) Provided to law-enforcement agencies for official purposes;</w:t>
      </w:r>
    </w:p>
    <w:p w14:paraId="7EA999C9" w14:textId="542D1053" w:rsidR="00353BE6" w:rsidRPr="00793A82" w:rsidRDefault="00353BE6" w:rsidP="00353BE6">
      <w:pPr>
        <w:pStyle w:val="SectionBody"/>
        <w:rPr>
          <w:color w:val="auto"/>
          <w:u w:val="single"/>
        </w:rPr>
      </w:pPr>
      <w:r w:rsidRPr="00793A82">
        <w:rPr>
          <w:color w:val="auto"/>
          <w:u w:val="single"/>
        </w:rPr>
        <w:t>(3) Provided to election officials for voter registration or candidacy requirements, provided such information is not made publicly accessible;</w:t>
      </w:r>
    </w:p>
    <w:p w14:paraId="4B7DAE4D" w14:textId="4562D744" w:rsidR="00353BE6" w:rsidRPr="00793A82" w:rsidRDefault="00353BE6" w:rsidP="00353BE6">
      <w:pPr>
        <w:pStyle w:val="SectionBody"/>
        <w:rPr>
          <w:color w:val="auto"/>
          <w:u w:val="single"/>
        </w:rPr>
      </w:pPr>
      <w:r w:rsidRPr="00793A82">
        <w:rPr>
          <w:color w:val="auto"/>
          <w:u w:val="single"/>
        </w:rPr>
        <w:t>(4) Provided pursuant to a valid subpoena or lawful discovery request under seal; or</w:t>
      </w:r>
    </w:p>
    <w:p w14:paraId="2F94AA99" w14:textId="5E093A3A" w:rsidR="00353BE6" w:rsidRPr="00793A82" w:rsidRDefault="00353BE6" w:rsidP="00353BE6">
      <w:pPr>
        <w:pStyle w:val="SectionBody"/>
        <w:rPr>
          <w:color w:val="auto"/>
          <w:u w:val="single"/>
        </w:rPr>
      </w:pPr>
      <w:r w:rsidRPr="00793A82">
        <w:rPr>
          <w:color w:val="auto"/>
          <w:u w:val="single"/>
        </w:rPr>
        <w:t>(5) Voluntarily disclosed by the covered individual.</w:t>
      </w:r>
    </w:p>
    <w:p w14:paraId="6302B2A5" w14:textId="0779C6FE" w:rsidR="00353BE6" w:rsidRPr="00793A82" w:rsidRDefault="00353BE6" w:rsidP="00353BE6">
      <w:pPr>
        <w:pStyle w:val="SectionBody"/>
        <w:rPr>
          <w:color w:val="auto"/>
          <w:u w:val="single"/>
        </w:rPr>
      </w:pPr>
      <w:r w:rsidRPr="00793A82">
        <w:rPr>
          <w:color w:val="auto"/>
          <w:u w:val="single"/>
        </w:rPr>
        <w:t>(e) Obligations of data custodians. – Any public body maintaining records that include personal residential information of a covered individual shall, upon request of the individual, redact such information from public-facing records to the extent permitted by law.</w:t>
      </w:r>
    </w:p>
    <w:p w14:paraId="3F354F22" w14:textId="5D6409BB" w:rsidR="00353BE6" w:rsidRPr="00793A82" w:rsidRDefault="00353BE6" w:rsidP="00353BE6">
      <w:pPr>
        <w:pStyle w:val="SectionBody"/>
        <w:rPr>
          <w:color w:val="auto"/>
          <w:u w:val="single"/>
        </w:rPr>
      </w:pPr>
      <w:r w:rsidRPr="00793A82">
        <w:rPr>
          <w:color w:val="auto"/>
          <w:u w:val="single"/>
        </w:rPr>
        <w:t>(f) Civil remedy. – A covered individual whose personal residential information is disclosed by a public body in violation of this section may bring a civil action for:</w:t>
      </w:r>
    </w:p>
    <w:p w14:paraId="77F49E47" w14:textId="3D9AE212" w:rsidR="00353BE6" w:rsidRPr="00793A82" w:rsidRDefault="00353BE6" w:rsidP="00353BE6">
      <w:pPr>
        <w:pStyle w:val="SectionBody"/>
        <w:rPr>
          <w:color w:val="auto"/>
          <w:u w:val="single"/>
        </w:rPr>
      </w:pPr>
      <w:r w:rsidRPr="00793A82">
        <w:rPr>
          <w:color w:val="auto"/>
          <w:u w:val="single"/>
        </w:rPr>
        <w:t>(1) Injunctive relief;</w:t>
      </w:r>
    </w:p>
    <w:p w14:paraId="7E68FC0E" w14:textId="4D15923D" w:rsidR="00353BE6" w:rsidRPr="00793A82" w:rsidRDefault="00353BE6" w:rsidP="00353BE6">
      <w:pPr>
        <w:pStyle w:val="SectionBody"/>
        <w:rPr>
          <w:color w:val="auto"/>
          <w:u w:val="single"/>
        </w:rPr>
      </w:pPr>
      <w:r w:rsidRPr="00793A82">
        <w:rPr>
          <w:color w:val="auto"/>
          <w:u w:val="single"/>
        </w:rPr>
        <w:t>(2) Actual damages; and</w:t>
      </w:r>
    </w:p>
    <w:p w14:paraId="1C9AA571" w14:textId="62518CED" w:rsidR="00353BE6" w:rsidRPr="00793A82" w:rsidRDefault="00353BE6" w:rsidP="00353BE6">
      <w:pPr>
        <w:pStyle w:val="SectionBody"/>
        <w:rPr>
          <w:color w:val="auto"/>
          <w:u w:val="single"/>
        </w:rPr>
      </w:pPr>
      <w:r w:rsidRPr="00793A82">
        <w:rPr>
          <w:color w:val="auto"/>
          <w:u w:val="single"/>
        </w:rPr>
        <w:t>(3) Reasonable attorney's fees and court costs.</w:t>
      </w:r>
    </w:p>
    <w:p w14:paraId="349AA579" w14:textId="03A5631D" w:rsidR="00353BE6" w:rsidRPr="00793A82" w:rsidRDefault="00353BE6" w:rsidP="00353BE6">
      <w:pPr>
        <w:pStyle w:val="SectionBody"/>
        <w:rPr>
          <w:color w:val="auto"/>
          <w:u w:val="single"/>
        </w:rPr>
      </w:pPr>
      <w:r w:rsidRPr="00793A82">
        <w:rPr>
          <w:color w:val="auto"/>
          <w:u w:val="single"/>
        </w:rPr>
        <w:t>(g) Construction. – Nothing in this section shall be construed to:</w:t>
      </w:r>
    </w:p>
    <w:p w14:paraId="5CCEEA50" w14:textId="7B0F2371" w:rsidR="00353BE6" w:rsidRPr="00793A82" w:rsidRDefault="00353BE6" w:rsidP="00353BE6">
      <w:pPr>
        <w:pStyle w:val="SectionBody"/>
        <w:rPr>
          <w:color w:val="auto"/>
          <w:u w:val="single"/>
        </w:rPr>
      </w:pPr>
      <w:r w:rsidRPr="00793A82">
        <w:rPr>
          <w:color w:val="auto"/>
          <w:u w:val="single"/>
        </w:rPr>
        <w:t>(1) Prohibit lawful newsgathering or reporting;</w:t>
      </w:r>
    </w:p>
    <w:p w14:paraId="08FFE68B" w14:textId="75FA155F" w:rsidR="00353BE6" w:rsidRPr="00793A82" w:rsidRDefault="00353BE6" w:rsidP="00353BE6">
      <w:pPr>
        <w:pStyle w:val="SectionBody"/>
        <w:rPr>
          <w:color w:val="auto"/>
          <w:u w:val="single"/>
        </w:rPr>
      </w:pPr>
      <w:r w:rsidRPr="00793A82">
        <w:rPr>
          <w:color w:val="auto"/>
          <w:u w:val="single"/>
        </w:rPr>
        <w:t>(2) Restrict speech by private individuals;</w:t>
      </w:r>
    </w:p>
    <w:p w14:paraId="5C3C100D" w14:textId="1E5696D4" w:rsidR="00353BE6" w:rsidRPr="00793A82" w:rsidRDefault="00353BE6" w:rsidP="00353BE6">
      <w:pPr>
        <w:pStyle w:val="SectionBody"/>
        <w:rPr>
          <w:color w:val="auto"/>
          <w:u w:val="single"/>
        </w:rPr>
      </w:pPr>
      <w:r w:rsidRPr="00793A82">
        <w:rPr>
          <w:color w:val="auto"/>
          <w:u w:val="single"/>
        </w:rPr>
        <w:t>(3) Create criminal liability for publication of information obtained from non-governmental sources; or</w:t>
      </w:r>
    </w:p>
    <w:p w14:paraId="23747D1B" w14:textId="0F71D65B" w:rsidR="00353BE6" w:rsidRPr="00793A82" w:rsidRDefault="00353BE6" w:rsidP="00353BE6">
      <w:pPr>
        <w:pStyle w:val="SectionBody"/>
        <w:rPr>
          <w:color w:val="auto"/>
          <w:u w:val="single"/>
        </w:rPr>
      </w:pPr>
      <w:r w:rsidRPr="00793A82">
        <w:rPr>
          <w:color w:val="auto"/>
          <w:u w:val="single"/>
        </w:rPr>
        <w:t>(4) Limit access to records otherwise available under the West Virginia Freedom of Information Act, except as expressly provided herein.</w:t>
      </w:r>
    </w:p>
    <w:p w14:paraId="7ABAAC7C" w14:textId="77777777" w:rsidR="00C33014" w:rsidRPr="00793A82" w:rsidRDefault="00C33014" w:rsidP="00CC1F3B">
      <w:pPr>
        <w:pStyle w:val="Note"/>
        <w:rPr>
          <w:color w:val="auto"/>
        </w:rPr>
      </w:pPr>
    </w:p>
    <w:p w14:paraId="6678173E" w14:textId="64F0C1AC" w:rsidR="006865E9" w:rsidRPr="00793A82" w:rsidRDefault="00CF1DCA" w:rsidP="00CC1F3B">
      <w:pPr>
        <w:pStyle w:val="Note"/>
        <w:rPr>
          <w:color w:val="auto"/>
        </w:rPr>
      </w:pPr>
      <w:r w:rsidRPr="00793A82">
        <w:rPr>
          <w:color w:val="auto"/>
        </w:rPr>
        <w:lastRenderedPageBreak/>
        <w:t>NOTE: The</w:t>
      </w:r>
      <w:r w:rsidR="006865E9" w:rsidRPr="00793A82">
        <w:rPr>
          <w:color w:val="auto"/>
        </w:rPr>
        <w:t xml:space="preserve"> purpose of this bill is to </w:t>
      </w:r>
      <w:r w:rsidR="00353BE6" w:rsidRPr="00793A82">
        <w:rPr>
          <w:color w:val="auto"/>
        </w:rPr>
        <w:t>provide protection of personal residential information of certain public officials.</w:t>
      </w:r>
    </w:p>
    <w:p w14:paraId="28208BA7" w14:textId="77777777" w:rsidR="006865E9" w:rsidRPr="00793A82" w:rsidRDefault="00AE48A0" w:rsidP="00CC1F3B">
      <w:pPr>
        <w:pStyle w:val="Note"/>
        <w:rPr>
          <w:color w:val="auto"/>
        </w:rPr>
      </w:pPr>
      <w:r w:rsidRPr="00793A82">
        <w:rPr>
          <w:color w:val="auto"/>
        </w:rPr>
        <w:t>Strike-throughs indicate language that would be stricken from a heading or the present law and underscoring indicates new language that would be added.</w:t>
      </w:r>
    </w:p>
    <w:sectPr w:rsidR="006865E9" w:rsidRPr="00793A82" w:rsidSect="00353BE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A0188" w14:textId="77777777" w:rsidR="00353BE6" w:rsidRPr="00B844FE" w:rsidRDefault="00353BE6" w:rsidP="00B844FE">
      <w:r>
        <w:separator/>
      </w:r>
    </w:p>
  </w:endnote>
  <w:endnote w:type="continuationSeparator" w:id="0">
    <w:p w14:paraId="3F1B9CB3" w14:textId="77777777" w:rsidR="00353BE6" w:rsidRPr="00B844FE" w:rsidRDefault="00353B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D52B16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6D36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5AD1F9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7BFA" w14:textId="77777777" w:rsidR="00353BE6" w:rsidRDefault="00353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F0BF6" w14:textId="77777777" w:rsidR="00353BE6" w:rsidRPr="00B844FE" w:rsidRDefault="00353BE6" w:rsidP="00B844FE">
      <w:r>
        <w:separator/>
      </w:r>
    </w:p>
  </w:footnote>
  <w:footnote w:type="continuationSeparator" w:id="0">
    <w:p w14:paraId="0744AD25" w14:textId="77777777" w:rsidR="00353BE6" w:rsidRPr="00B844FE" w:rsidRDefault="00353B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B74D" w14:textId="77777777" w:rsidR="002A0269" w:rsidRPr="00B844FE" w:rsidRDefault="006A266A">
    <w:pPr>
      <w:pStyle w:val="Header"/>
    </w:pPr>
    <w:sdt>
      <w:sdtPr>
        <w:id w:val="-684364211"/>
        <w:placeholder>
          <w:docPart w:val="3C61D5DF80B241B98A569E839C72CEC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C61D5DF80B241B98A569E839C72CEC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2C08" w14:textId="3185424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53BE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53BE6">
          <w:rPr>
            <w:sz w:val="22"/>
            <w:szCs w:val="22"/>
          </w:rPr>
          <w:t>2026R3767</w:t>
        </w:r>
      </w:sdtContent>
    </w:sdt>
  </w:p>
  <w:p w14:paraId="73FAED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274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506D2"/>
    <w:multiLevelType w:val="hybridMultilevel"/>
    <w:tmpl w:val="96FE199C"/>
    <w:lvl w:ilvl="0" w:tplc="ED8E2860">
      <w:start w:val="1"/>
      <w:numFmt w:val="lowerLetter"/>
      <w:lvlText w:val="(%1)"/>
      <w:lvlJc w:val="left"/>
      <w:pPr>
        <w:ind w:left="1190" w:hanging="368"/>
        <w:jc w:val="right"/>
      </w:pPr>
      <w:rPr>
        <w:rFonts w:ascii="Arial" w:eastAsia="Arial" w:hAnsi="Arial" w:cs="Arial" w:hint="default"/>
        <w:b w:val="0"/>
        <w:bCs w:val="0"/>
        <w:i w:val="0"/>
        <w:iCs w:val="0"/>
        <w:color w:val="0F0F0F"/>
        <w:spacing w:val="-1"/>
        <w:w w:val="106"/>
        <w:sz w:val="23"/>
        <w:szCs w:val="23"/>
        <w:lang w:val="en-US" w:eastAsia="en-US" w:bidi="ar-SA"/>
      </w:rPr>
    </w:lvl>
    <w:lvl w:ilvl="1" w:tplc="6A3CEDE0">
      <w:start w:val="1"/>
      <w:numFmt w:val="decimal"/>
      <w:lvlText w:val="%2."/>
      <w:lvlJc w:val="left"/>
      <w:pPr>
        <w:ind w:left="1420" w:hanging="258"/>
        <w:jc w:val="left"/>
      </w:pPr>
      <w:rPr>
        <w:rFonts w:hint="default"/>
        <w:spacing w:val="-1"/>
        <w:w w:val="109"/>
        <w:lang w:val="en-US" w:eastAsia="en-US" w:bidi="ar-SA"/>
      </w:rPr>
    </w:lvl>
    <w:lvl w:ilvl="2" w:tplc="628CF590">
      <w:numFmt w:val="bullet"/>
      <w:lvlText w:val="o"/>
      <w:lvlJc w:val="left"/>
      <w:pPr>
        <w:ind w:left="1991" w:hanging="258"/>
      </w:pPr>
      <w:rPr>
        <w:rFonts w:ascii="Arial" w:eastAsia="Arial" w:hAnsi="Arial" w:cs="Arial" w:hint="default"/>
        <w:spacing w:val="0"/>
        <w:w w:val="105"/>
        <w:lang w:val="en-US" w:eastAsia="en-US" w:bidi="ar-SA"/>
      </w:rPr>
    </w:lvl>
    <w:lvl w:ilvl="3" w:tplc="2FD0AE56">
      <w:numFmt w:val="bullet"/>
      <w:lvlText w:val="•"/>
      <w:lvlJc w:val="left"/>
      <w:pPr>
        <w:ind w:left="1500" w:hanging="258"/>
      </w:pPr>
      <w:rPr>
        <w:rFonts w:hint="default"/>
        <w:lang w:val="en-US" w:eastAsia="en-US" w:bidi="ar-SA"/>
      </w:rPr>
    </w:lvl>
    <w:lvl w:ilvl="4" w:tplc="BCA20AB0">
      <w:numFmt w:val="bullet"/>
      <w:lvlText w:val="•"/>
      <w:lvlJc w:val="left"/>
      <w:pPr>
        <w:ind w:left="2000" w:hanging="258"/>
      </w:pPr>
      <w:rPr>
        <w:rFonts w:hint="default"/>
        <w:lang w:val="en-US" w:eastAsia="en-US" w:bidi="ar-SA"/>
      </w:rPr>
    </w:lvl>
    <w:lvl w:ilvl="5" w:tplc="7638E6DE">
      <w:numFmt w:val="bullet"/>
      <w:lvlText w:val="•"/>
      <w:lvlJc w:val="left"/>
      <w:pPr>
        <w:ind w:left="3526" w:hanging="258"/>
      </w:pPr>
      <w:rPr>
        <w:rFonts w:hint="default"/>
        <w:lang w:val="en-US" w:eastAsia="en-US" w:bidi="ar-SA"/>
      </w:rPr>
    </w:lvl>
    <w:lvl w:ilvl="6" w:tplc="6D06E652">
      <w:numFmt w:val="bullet"/>
      <w:lvlText w:val="•"/>
      <w:lvlJc w:val="left"/>
      <w:pPr>
        <w:ind w:left="5053" w:hanging="258"/>
      </w:pPr>
      <w:rPr>
        <w:rFonts w:hint="default"/>
        <w:lang w:val="en-US" w:eastAsia="en-US" w:bidi="ar-SA"/>
      </w:rPr>
    </w:lvl>
    <w:lvl w:ilvl="7" w:tplc="7FD6B5CA">
      <w:numFmt w:val="bullet"/>
      <w:lvlText w:val="•"/>
      <w:lvlJc w:val="left"/>
      <w:pPr>
        <w:ind w:left="6580" w:hanging="258"/>
      </w:pPr>
      <w:rPr>
        <w:rFonts w:hint="default"/>
        <w:lang w:val="en-US" w:eastAsia="en-US" w:bidi="ar-SA"/>
      </w:rPr>
    </w:lvl>
    <w:lvl w:ilvl="8" w:tplc="825A3EBC">
      <w:numFmt w:val="bullet"/>
      <w:lvlText w:val="•"/>
      <w:lvlJc w:val="left"/>
      <w:pPr>
        <w:ind w:left="8106" w:hanging="258"/>
      </w:pPr>
      <w:rPr>
        <w:rFonts w:hint="default"/>
        <w:lang w:val="en-US" w:eastAsia="en-US" w:bidi="ar-SA"/>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266813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BE6"/>
    <w:rsid w:val="0000526A"/>
    <w:rsid w:val="000573A9"/>
    <w:rsid w:val="00085D22"/>
    <w:rsid w:val="00093AB0"/>
    <w:rsid w:val="0009441E"/>
    <w:rsid w:val="000C5C77"/>
    <w:rsid w:val="000E3912"/>
    <w:rsid w:val="0010070F"/>
    <w:rsid w:val="001029DD"/>
    <w:rsid w:val="0015112E"/>
    <w:rsid w:val="001552E7"/>
    <w:rsid w:val="001566B4"/>
    <w:rsid w:val="001A66B7"/>
    <w:rsid w:val="001C279E"/>
    <w:rsid w:val="001D459E"/>
    <w:rsid w:val="0020151F"/>
    <w:rsid w:val="00211F02"/>
    <w:rsid w:val="002141B9"/>
    <w:rsid w:val="0022348D"/>
    <w:rsid w:val="0027011C"/>
    <w:rsid w:val="00274200"/>
    <w:rsid w:val="00275740"/>
    <w:rsid w:val="00281400"/>
    <w:rsid w:val="002A0269"/>
    <w:rsid w:val="00303684"/>
    <w:rsid w:val="003143F5"/>
    <w:rsid w:val="00314854"/>
    <w:rsid w:val="003313D3"/>
    <w:rsid w:val="00345B48"/>
    <w:rsid w:val="00353BE6"/>
    <w:rsid w:val="00394191"/>
    <w:rsid w:val="003C51CD"/>
    <w:rsid w:val="003C6034"/>
    <w:rsid w:val="003D5DC0"/>
    <w:rsid w:val="00400B5C"/>
    <w:rsid w:val="004368E0"/>
    <w:rsid w:val="004C13DD"/>
    <w:rsid w:val="004D3ABE"/>
    <w:rsid w:val="004E3441"/>
    <w:rsid w:val="00500579"/>
    <w:rsid w:val="00572702"/>
    <w:rsid w:val="005A5366"/>
    <w:rsid w:val="00610662"/>
    <w:rsid w:val="006369EB"/>
    <w:rsid w:val="00637E73"/>
    <w:rsid w:val="006677B6"/>
    <w:rsid w:val="006865E9"/>
    <w:rsid w:val="00686E9A"/>
    <w:rsid w:val="00691F3E"/>
    <w:rsid w:val="00694BFB"/>
    <w:rsid w:val="006A106B"/>
    <w:rsid w:val="006A266A"/>
    <w:rsid w:val="006C523D"/>
    <w:rsid w:val="006D4036"/>
    <w:rsid w:val="00766AD0"/>
    <w:rsid w:val="00793A82"/>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5BC3"/>
    <w:rsid w:val="00CB1005"/>
    <w:rsid w:val="00CB20EF"/>
    <w:rsid w:val="00CB6DE9"/>
    <w:rsid w:val="00CC1F3B"/>
    <w:rsid w:val="00CD12CB"/>
    <w:rsid w:val="00CD36CF"/>
    <w:rsid w:val="00CF1DCA"/>
    <w:rsid w:val="00D579FC"/>
    <w:rsid w:val="00D81C16"/>
    <w:rsid w:val="00D9020D"/>
    <w:rsid w:val="00DE526B"/>
    <w:rsid w:val="00DF199D"/>
    <w:rsid w:val="00DF2C3C"/>
    <w:rsid w:val="00E01542"/>
    <w:rsid w:val="00E365F1"/>
    <w:rsid w:val="00E62F48"/>
    <w:rsid w:val="00E831B3"/>
    <w:rsid w:val="00E95FBC"/>
    <w:rsid w:val="00EB4F19"/>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8BCE8"/>
  <w15:chartTrackingRefBased/>
  <w15:docId w15:val="{30E6253F-D815-4A5B-BE8A-2141259E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53BE6"/>
    <w:rPr>
      <w:rFonts w:eastAsia="Calibri"/>
      <w:b/>
      <w:caps/>
      <w:color w:val="000000"/>
      <w:sz w:val="24"/>
    </w:rPr>
  </w:style>
  <w:style w:type="character" w:styleId="Hyperlink">
    <w:name w:val="Hyperlink"/>
    <w:basedOn w:val="DefaultParagraphFont"/>
    <w:uiPriority w:val="99"/>
    <w:semiHidden/>
    <w:locked/>
    <w:rsid w:val="00353BE6"/>
    <w:rPr>
      <w:color w:val="0563C1" w:themeColor="hyperlink"/>
      <w:u w:val="single"/>
    </w:rPr>
  </w:style>
  <w:style w:type="character" w:styleId="UnresolvedMention">
    <w:name w:val="Unresolved Mention"/>
    <w:basedOn w:val="DefaultParagraphFont"/>
    <w:uiPriority w:val="99"/>
    <w:semiHidden/>
    <w:unhideWhenUsed/>
    <w:rsid w:val="00353BE6"/>
    <w:rPr>
      <w:color w:val="605E5C"/>
      <w:shd w:val="clear" w:color="auto" w:fill="E1DFDD"/>
    </w:rPr>
  </w:style>
  <w:style w:type="paragraph" w:styleId="BodyText">
    <w:name w:val="Body Text"/>
    <w:basedOn w:val="Normal"/>
    <w:link w:val="BodyTextChar"/>
    <w:uiPriority w:val="1"/>
    <w:qFormat/>
    <w:locked/>
    <w:rsid w:val="00353BE6"/>
    <w:pPr>
      <w:widowControl w:val="0"/>
      <w:autoSpaceDE w:val="0"/>
      <w:autoSpaceDN w:val="0"/>
      <w:spacing w:line="240" w:lineRule="auto"/>
    </w:pPr>
    <w:rPr>
      <w:rFonts w:eastAsia="Arial" w:cs="Arial"/>
      <w:color w:val="auto"/>
      <w:sz w:val="23"/>
      <w:szCs w:val="23"/>
    </w:rPr>
  </w:style>
  <w:style w:type="character" w:customStyle="1" w:styleId="BodyTextChar">
    <w:name w:val="Body Text Char"/>
    <w:basedOn w:val="DefaultParagraphFont"/>
    <w:link w:val="BodyText"/>
    <w:uiPriority w:val="1"/>
    <w:rsid w:val="00353BE6"/>
    <w:rPr>
      <w:rFonts w:eastAsia="Arial" w:cs="Arial"/>
      <w:color w:val="auto"/>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0C36B7EA5E42729935E3ACF9739D12"/>
        <w:category>
          <w:name w:val="General"/>
          <w:gallery w:val="placeholder"/>
        </w:category>
        <w:types>
          <w:type w:val="bbPlcHdr"/>
        </w:types>
        <w:behaviors>
          <w:behavior w:val="content"/>
        </w:behaviors>
        <w:guid w:val="{5B66BC7D-8D47-4B11-AD48-4EB6E9936563}"/>
      </w:docPartPr>
      <w:docPartBody>
        <w:p w:rsidR="005A4541" w:rsidRDefault="005A4541">
          <w:pPr>
            <w:pStyle w:val="DA0C36B7EA5E42729935E3ACF9739D12"/>
          </w:pPr>
          <w:r w:rsidRPr="00B844FE">
            <w:t>Prefix Text</w:t>
          </w:r>
        </w:p>
      </w:docPartBody>
    </w:docPart>
    <w:docPart>
      <w:docPartPr>
        <w:name w:val="3C61D5DF80B241B98A569E839C72CEC5"/>
        <w:category>
          <w:name w:val="General"/>
          <w:gallery w:val="placeholder"/>
        </w:category>
        <w:types>
          <w:type w:val="bbPlcHdr"/>
        </w:types>
        <w:behaviors>
          <w:behavior w:val="content"/>
        </w:behaviors>
        <w:guid w:val="{D73E7434-C98C-4611-8E5A-9BC4F9C6E72A}"/>
      </w:docPartPr>
      <w:docPartBody>
        <w:p w:rsidR="005A4541" w:rsidRDefault="005A4541">
          <w:pPr>
            <w:pStyle w:val="3C61D5DF80B241B98A569E839C72CEC5"/>
          </w:pPr>
          <w:r w:rsidRPr="00B844FE">
            <w:t>[Type here]</w:t>
          </w:r>
        </w:p>
      </w:docPartBody>
    </w:docPart>
    <w:docPart>
      <w:docPartPr>
        <w:name w:val="FF7EF3603959408F99A68B78B14601F5"/>
        <w:category>
          <w:name w:val="General"/>
          <w:gallery w:val="placeholder"/>
        </w:category>
        <w:types>
          <w:type w:val="bbPlcHdr"/>
        </w:types>
        <w:behaviors>
          <w:behavior w:val="content"/>
        </w:behaviors>
        <w:guid w:val="{1F1DDCBA-662A-4C2F-A11A-46B6CD797D52}"/>
      </w:docPartPr>
      <w:docPartBody>
        <w:p w:rsidR="005A4541" w:rsidRDefault="005A4541">
          <w:pPr>
            <w:pStyle w:val="FF7EF3603959408F99A68B78B14601F5"/>
          </w:pPr>
          <w:r w:rsidRPr="00B844FE">
            <w:t>Number</w:t>
          </w:r>
        </w:p>
      </w:docPartBody>
    </w:docPart>
    <w:docPart>
      <w:docPartPr>
        <w:name w:val="D371FAE86F534661BBF8CCE6E5AB5CFB"/>
        <w:category>
          <w:name w:val="General"/>
          <w:gallery w:val="placeholder"/>
        </w:category>
        <w:types>
          <w:type w:val="bbPlcHdr"/>
        </w:types>
        <w:behaviors>
          <w:behavior w:val="content"/>
        </w:behaviors>
        <w:guid w:val="{896B097F-4EF9-4DDF-809A-427D58D288A0}"/>
      </w:docPartPr>
      <w:docPartBody>
        <w:p w:rsidR="005A4541" w:rsidRDefault="005A4541">
          <w:pPr>
            <w:pStyle w:val="D371FAE86F534661BBF8CCE6E5AB5CFB"/>
          </w:pPr>
          <w:r w:rsidRPr="00B844FE">
            <w:t>Enter Sponsors Here</w:t>
          </w:r>
        </w:p>
      </w:docPartBody>
    </w:docPart>
    <w:docPart>
      <w:docPartPr>
        <w:name w:val="98ED0CEF70714131BAC0D43EB23CB15A"/>
        <w:category>
          <w:name w:val="General"/>
          <w:gallery w:val="placeholder"/>
        </w:category>
        <w:types>
          <w:type w:val="bbPlcHdr"/>
        </w:types>
        <w:behaviors>
          <w:behavior w:val="content"/>
        </w:behaviors>
        <w:guid w:val="{ECCF7B2B-8BF6-4690-A68C-184F27188178}"/>
      </w:docPartPr>
      <w:docPartBody>
        <w:p w:rsidR="005A4541" w:rsidRDefault="005A4541">
          <w:pPr>
            <w:pStyle w:val="98ED0CEF70714131BAC0D43EB23CB15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41"/>
    <w:rsid w:val="001029DD"/>
    <w:rsid w:val="00281400"/>
    <w:rsid w:val="003313D3"/>
    <w:rsid w:val="005A4541"/>
    <w:rsid w:val="006677B6"/>
    <w:rsid w:val="00C95BC3"/>
    <w:rsid w:val="00CB1005"/>
    <w:rsid w:val="00CB6DE9"/>
    <w:rsid w:val="00EB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0C36B7EA5E42729935E3ACF9739D12">
    <w:name w:val="DA0C36B7EA5E42729935E3ACF9739D12"/>
  </w:style>
  <w:style w:type="paragraph" w:customStyle="1" w:styleId="3C61D5DF80B241B98A569E839C72CEC5">
    <w:name w:val="3C61D5DF80B241B98A569E839C72CEC5"/>
  </w:style>
  <w:style w:type="paragraph" w:customStyle="1" w:styleId="FF7EF3603959408F99A68B78B14601F5">
    <w:name w:val="FF7EF3603959408F99A68B78B14601F5"/>
  </w:style>
  <w:style w:type="paragraph" w:customStyle="1" w:styleId="D371FAE86F534661BBF8CCE6E5AB5CFB">
    <w:name w:val="D371FAE86F534661BBF8CCE6E5AB5CFB"/>
  </w:style>
  <w:style w:type="character" w:styleId="PlaceholderText">
    <w:name w:val="Placeholder Text"/>
    <w:basedOn w:val="DefaultParagraphFont"/>
    <w:uiPriority w:val="99"/>
    <w:semiHidden/>
    <w:rPr>
      <w:color w:val="808080"/>
    </w:rPr>
  </w:style>
  <w:style w:type="paragraph" w:customStyle="1" w:styleId="98ED0CEF70714131BAC0D43EB23CB15A">
    <w:name w:val="98ED0CEF70714131BAC0D43EB23CB1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602</Words>
  <Characters>3257</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Rebecca Sutton</cp:lastModifiedBy>
  <cp:revision>3</cp:revision>
  <dcterms:created xsi:type="dcterms:W3CDTF">2026-02-12T21:39:00Z</dcterms:created>
  <dcterms:modified xsi:type="dcterms:W3CDTF">2026-02-26T14:05:00Z</dcterms:modified>
</cp:coreProperties>
</file>